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景东县人民医院DRG监管审核系统采购需求参数及评审标准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项目名称：景东县人民医院DRG监管审核系统采购项目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项目预算：80000.00元，大写：捌万元整。</w:t>
      </w:r>
    </w:p>
    <w:tbl>
      <w:tblPr>
        <w:tblStyle w:val="9"/>
        <w:tblpPr w:leftFromText="180" w:rightFromText="180" w:vertAnchor="text" w:horzAnchor="page" w:tblpX="937" w:tblpY="430"/>
        <w:tblOverlap w:val="never"/>
        <w:tblW w:w="10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153"/>
        <w:gridCol w:w="825"/>
        <w:gridCol w:w="825"/>
        <w:gridCol w:w="1469"/>
        <w:gridCol w:w="1185"/>
        <w:gridCol w:w="1441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标段</w:t>
            </w:r>
          </w:p>
        </w:tc>
        <w:tc>
          <w:tcPr>
            <w:tcW w:w="21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预算（元）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报价（元）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型号、规格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2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DRG监管审核系统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套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80000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9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人民币（含税）</w:t>
            </w:r>
          </w:p>
        </w:tc>
        <w:tc>
          <w:tcPr>
            <w:tcW w:w="76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小写：        元；大写：            元整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参数要求及评审标准：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系统架构要求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采用B/S架构设计，支持主流浏览器访问；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系统应具备高可用性，支持负载均衡和集群部署；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数据对接要求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支持与医院HIS、病案系统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医保系统的数据对接；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支持数据库直连（Oracle、MySQL、SQLServer等主流数据库）；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5.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支持增量和全量数据抽取模式。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核心功能模块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系统</w:t>
      </w:r>
      <w:r>
        <w:rPr>
          <w:rFonts w:hint="eastAsia" w:ascii="宋体" w:hAnsi="宋体" w:eastAsia="宋体" w:cs="宋体"/>
          <w:sz w:val="24"/>
          <w:szCs w:val="24"/>
        </w:rPr>
        <w:t>以医保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局</w:t>
      </w:r>
      <w:r>
        <w:rPr>
          <w:rFonts w:hint="eastAsia" w:ascii="宋体" w:hAnsi="宋体" w:eastAsia="宋体" w:cs="宋体"/>
          <w:sz w:val="24"/>
          <w:szCs w:val="24"/>
        </w:rPr>
        <w:t>DRG监管政策为依据，结合医院实际诊疗特点，构建</w:t>
      </w:r>
      <w:r>
        <w:rPr>
          <w:rFonts w:hint="eastAsia" w:ascii="宋体" w:hAnsi="宋体" w:eastAsia="宋体" w:cs="宋体"/>
          <w:b/>
          <w:sz w:val="24"/>
          <w:szCs w:val="24"/>
        </w:rPr>
        <w:t>覆盖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多</w:t>
      </w:r>
      <w:r>
        <w:rPr>
          <w:rFonts w:hint="eastAsia" w:ascii="宋体" w:hAnsi="宋体" w:eastAsia="宋体" w:cs="宋体"/>
          <w:b/>
          <w:sz w:val="24"/>
          <w:szCs w:val="24"/>
        </w:rPr>
        <w:t>维度、可扩展、可定制</w:t>
      </w:r>
      <w:r>
        <w:rPr>
          <w:rFonts w:hint="eastAsia" w:ascii="宋体" w:hAnsi="宋体" w:eastAsia="宋体" w:cs="宋体"/>
          <w:sz w:val="24"/>
          <w:szCs w:val="24"/>
        </w:rPr>
        <w:t>的审核规则体系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规则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</w:t>
      </w:r>
      <w:r>
        <w:rPr>
          <w:rFonts w:hint="eastAsia" w:ascii="宋体" w:hAnsi="宋体" w:eastAsia="宋体" w:cs="宋体"/>
          <w:sz w:val="24"/>
          <w:szCs w:val="24"/>
        </w:rPr>
        <w:t>进行分类管理，方便医院根据需求灵活启用/关闭。规则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包含但不限于以下规则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tbl>
      <w:tblPr>
        <w:tblStyle w:val="8"/>
        <w:tblW w:w="7462" w:type="dxa"/>
        <w:tblInd w:w="5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5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54" w:type="dxa"/>
            <w:shd w:val="clear" w:color="auto" w:fill="F1F1F1" w:themeFill="background1" w:themeFillShade="F2"/>
            <w:vAlign w:val="center"/>
          </w:tcPr>
          <w:p>
            <w:pPr>
              <w:rPr>
                <w:rFonts w:hint="default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审核规则分类</w:t>
            </w:r>
          </w:p>
        </w:tc>
        <w:tc>
          <w:tcPr>
            <w:tcW w:w="5308" w:type="dxa"/>
            <w:shd w:val="clear" w:color="auto" w:fill="F1F1F1" w:themeFill="background1" w:themeFillShade="F2"/>
            <w:vAlign w:val="center"/>
          </w:tcPr>
          <w:p>
            <w:pPr>
              <w:rPr>
                <w:rFonts w:hint="default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审核规则名称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54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6.主要诊断错编审核</w:t>
            </w:r>
          </w:p>
        </w:tc>
        <w:tc>
          <w:tcPr>
            <w:tcW w:w="5308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主要诊断错填_无对应诊疗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主要诊断选择错误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诊断排序校验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154" w:type="dxa"/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7.</w:t>
            </w:r>
            <w:r>
              <w:rPr>
                <w:rFonts w:hint="default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诊断编码多编审核</w:t>
            </w:r>
          </w:p>
        </w:tc>
        <w:tc>
          <w:tcPr>
            <w:tcW w:w="5308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无治疗诊断校验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154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8.</w:t>
            </w:r>
            <w: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诊断编码漏编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审核</w:t>
            </w:r>
          </w:p>
        </w:tc>
        <w:tc>
          <w:tcPr>
            <w:tcW w:w="5308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可疑漏传诊断校验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154" w:type="dxa"/>
            <w:vMerge w:val="restart"/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9.</w:t>
            </w:r>
            <w:r>
              <w:rPr>
                <w:rFonts w:hint="default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主要手术错编审核</w:t>
            </w:r>
          </w:p>
        </w:tc>
        <w:tc>
          <w:tcPr>
            <w:tcW w:w="5308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手术排序校验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主要手术选择错误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主要手术错填_无核心诊疗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154" w:type="dxa"/>
            <w:vMerge w:val="restart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10.</w:t>
            </w:r>
            <w: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分解住院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审核</w:t>
            </w:r>
          </w:p>
        </w:tc>
        <w:tc>
          <w:tcPr>
            <w:tcW w:w="5308" w:type="dxa"/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分解住院_相同ADRG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分解住院_内科ADRG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分解住院_外科ADRG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分解住院_跨ADRG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分解住院_相同MDC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分解住院_普通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分解住院_诊断亚目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54" w:type="dxa"/>
            <w:vMerge w:val="restart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11.</w:t>
            </w:r>
            <w: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低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标准</w:t>
            </w:r>
            <w: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入院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审核</w:t>
            </w:r>
          </w:p>
        </w:tc>
        <w:tc>
          <w:tcPr>
            <w:tcW w:w="5308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体检住院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配药住院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Cs w:val="24"/>
                <w:lang w:val="en-US" w:eastAsia="zh-CN" w:bidi="ar-SA"/>
              </w:rPr>
              <w:t>审核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12.</w:t>
      </w:r>
      <w:r>
        <w:rPr>
          <w:rFonts w:hint="eastAsia" w:ascii="宋体" w:hAnsi="宋体" w:eastAsia="宋体" w:cs="宋体"/>
          <w:sz w:val="24"/>
          <w:szCs w:val="24"/>
        </w:rPr>
        <w:t>系统可根据医院所在地区医保局的DRG监管要求、医院内部管理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需要，</w:t>
      </w:r>
      <w:r>
        <w:rPr>
          <w:rFonts w:hint="eastAsia" w:ascii="宋体" w:hAnsi="宋体" w:eastAsia="宋体" w:cs="宋体"/>
          <w:sz w:val="24"/>
          <w:szCs w:val="24"/>
        </w:rPr>
        <w:t>新增个性化审核规则，确保规则体系的全面性与适配性。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性能及安全要求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性能要求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★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13.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系统支持并发用户数≥200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数据查询响应时间≤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安全要求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14.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敏感数据应加密存储和传输；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15.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支持用户权限分级管理，实现操作日志全程留痕；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16.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满足医院内外网隔离环境下的数据交换安全要求。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根据《国家医疗保障局关于印发按病组和病种分值付费2.0版分组方案并深入推进相关工作的通知》及云南省医疗保障局关于DRG支付方式改革的实施方案要求，DRG监管审核系统须符合以下技术标准：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★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17.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支持CHS-DRG2.0版分组方案及云南省本地化分组规则；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★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18.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实现与云南省医疗保障信息平台的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医保结算清单系统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标准化数据接口对接；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★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19.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满足医保结算清单自动生成、质控、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DRG监管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审核、上传全流程管理要求；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实施及服务要求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实施要求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20.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合同签订后30个工作日内完成系统部署、数据对接及调试；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21.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提供完整的系统操作手册；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22.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提供系统管理员及业务操作人员的培训。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售后服务要求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23.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质保期1年，质保期内免费维护升级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24.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提供7×24小时技术支持服务；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25.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系统故障响应时间≤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小时，一般问题处理时间≤24小时；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26.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根据国家医保政策变化及时更新系统功能。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A标段采用综合评分，评审标准：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2154"/>
        <w:gridCol w:w="2250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17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215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公司资质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服务方案</w:t>
            </w:r>
          </w:p>
        </w:tc>
        <w:tc>
          <w:tcPr>
            <w:tcW w:w="249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17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15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249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1、报价分数根据各供应商的报价，通过公式：院内采购报价得分=(院内采购基准价/最终报价)×30进行计算，院内采购基准价为所有投标供应商最低报价。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2、公司资质根据我院在采购公告中需要供应商符合的资质要求，公司资质齐全：10分,公司资质不全：0分。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3、服务方案满分23分，根据各供应商在投标文件中的承诺，进行综合评审，第一个档次：系统施行方案安排合理、人员配置充足及岗位职责明确、能提供完善的售后服务方案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17～23分，第二个档次：系统施行方案安排基本合理、人员配置基本充足及岗位职责基本明确、有售后服务方案9～16分，第三个档次：系统施行方案安排不合理、人员配置不充足及岗位职责不明确、无售后服务方案1～8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/>
          <w:sz w:val="24"/>
          <w:szCs w:val="24"/>
          <w:lang w:val="en-US" w:eastAsia="zh-CN"/>
        </w:rPr>
        <w:sectPr>
          <w:headerReference r:id="rId3" w:type="default"/>
          <w:footerReference r:id="rId4" w:type="default"/>
          <w:pgSz w:w="11906" w:h="16839"/>
          <w:pgMar w:top="1322" w:right="640" w:bottom="0" w:left="1785" w:header="0" w:footer="0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4、参数需求满分37分，无法满足带星号</w:t>
      </w:r>
      <w:r>
        <w:rPr>
          <w:rFonts w:hint="eastAsia" w:ascii="宋体" w:hAnsi="宋体"/>
          <w:sz w:val="24"/>
          <w:szCs w:val="24"/>
          <w:lang w:val="en-US" w:eastAsia="zh-CN"/>
        </w:rPr>
        <w:t>★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参数每条扣2分，非星号参数每条扣1分，扣完为止。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C37F70B-B895-4DD2-B16C-CFB210D37B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ED3D95E-6541-45DF-B657-AD36A53111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WNlYWNhMTdiOWU4YTRjNzYzMjU0ZmJlMmUzZDQifQ=="/>
    <w:docVar w:name="KSO_WPS_MARK_KEY" w:val="f25fa726-607f-4fd8-a862-19b5d525fc00"/>
  </w:docVars>
  <w:rsids>
    <w:rsidRoot w:val="00EE323D"/>
    <w:rsid w:val="002769FB"/>
    <w:rsid w:val="004D725F"/>
    <w:rsid w:val="00535144"/>
    <w:rsid w:val="006A5010"/>
    <w:rsid w:val="00935CAE"/>
    <w:rsid w:val="00A23658"/>
    <w:rsid w:val="00EE323D"/>
    <w:rsid w:val="01016ACB"/>
    <w:rsid w:val="024737BC"/>
    <w:rsid w:val="03B3602B"/>
    <w:rsid w:val="05A221C6"/>
    <w:rsid w:val="06682FD2"/>
    <w:rsid w:val="092D6202"/>
    <w:rsid w:val="0AC56245"/>
    <w:rsid w:val="0F2A5FF8"/>
    <w:rsid w:val="12F34858"/>
    <w:rsid w:val="1444190A"/>
    <w:rsid w:val="16517D9E"/>
    <w:rsid w:val="16774218"/>
    <w:rsid w:val="17DF73FC"/>
    <w:rsid w:val="189F35B2"/>
    <w:rsid w:val="1BBC43B1"/>
    <w:rsid w:val="226F3FF6"/>
    <w:rsid w:val="234E5BEB"/>
    <w:rsid w:val="236B41FB"/>
    <w:rsid w:val="238F5224"/>
    <w:rsid w:val="260D6FAE"/>
    <w:rsid w:val="27143A65"/>
    <w:rsid w:val="2745419A"/>
    <w:rsid w:val="292C468D"/>
    <w:rsid w:val="2A815C84"/>
    <w:rsid w:val="2B1F7D54"/>
    <w:rsid w:val="2B7446A6"/>
    <w:rsid w:val="2EF17758"/>
    <w:rsid w:val="2FD96F34"/>
    <w:rsid w:val="3236068C"/>
    <w:rsid w:val="330662B0"/>
    <w:rsid w:val="33BA709B"/>
    <w:rsid w:val="33D40F6F"/>
    <w:rsid w:val="344334DE"/>
    <w:rsid w:val="38C757B4"/>
    <w:rsid w:val="39021D4B"/>
    <w:rsid w:val="3AD3391A"/>
    <w:rsid w:val="3B8E6C28"/>
    <w:rsid w:val="3CC25F53"/>
    <w:rsid w:val="3D525436"/>
    <w:rsid w:val="3DCE49C9"/>
    <w:rsid w:val="3EE15093"/>
    <w:rsid w:val="41B35676"/>
    <w:rsid w:val="41F1143D"/>
    <w:rsid w:val="42A26A00"/>
    <w:rsid w:val="4590644E"/>
    <w:rsid w:val="48BD578B"/>
    <w:rsid w:val="4C3B2C21"/>
    <w:rsid w:val="4CC01849"/>
    <w:rsid w:val="4EC05553"/>
    <w:rsid w:val="503B4BC8"/>
    <w:rsid w:val="504E3605"/>
    <w:rsid w:val="55684887"/>
    <w:rsid w:val="580F1AC6"/>
    <w:rsid w:val="58D130F6"/>
    <w:rsid w:val="5AB130F1"/>
    <w:rsid w:val="5AB973DB"/>
    <w:rsid w:val="5B8C02A6"/>
    <w:rsid w:val="5CAB7D04"/>
    <w:rsid w:val="5F46786B"/>
    <w:rsid w:val="5FB905E9"/>
    <w:rsid w:val="61534507"/>
    <w:rsid w:val="6648547A"/>
    <w:rsid w:val="68564910"/>
    <w:rsid w:val="6AE831C1"/>
    <w:rsid w:val="6C4F686A"/>
    <w:rsid w:val="6D605DCB"/>
    <w:rsid w:val="6DF95FF8"/>
    <w:rsid w:val="701536FF"/>
    <w:rsid w:val="71794B44"/>
    <w:rsid w:val="742D499B"/>
    <w:rsid w:val="78455375"/>
    <w:rsid w:val="79D30F78"/>
    <w:rsid w:val="7B2368A0"/>
    <w:rsid w:val="7B9F23CB"/>
    <w:rsid w:val="7D4728BC"/>
    <w:rsid w:val="7EF90044"/>
    <w:rsid w:val="7FBB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3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4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1335</Words>
  <Characters>1408</Characters>
  <Lines>27</Lines>
  <Paragraphs>7</Paragraphs>
  <TotalTime>53</TotalTime>
  <ScaleCrop>false</ScaleCrop>
  <LinksUpToDate>false</LinksUpToDate>
  <CharactersWithSpaces>1428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2022-08-08T04:58:00Z</dcterms:created>
  <dc:creator>dhc</dc:creator>
  <cp:lastModifiedBy>六月亦輕寒</cp:lastModifiedBy>
  <cp:lastPrinted>2026-03-09T08:44:00Z</cp:lastPrinted>
  <dcterms:modified xsi:type="dcterms:W3CDTF">2026-05-21T01:24:20Z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9117E972A97D40E3BE8ED4F00B093126_13</vt:lpwstr>
  </property>
  <property fmtid="{D5CDD505-2E9C-101B-9397-08002B2CF9AE}" pid="4" name="KSOTemplateDocerSaveRecord">
    <vt:lpwstr>eyJoZGlkIjoiMzVjZWNlYWNhMTdiOWU4YTRjNzYzMjU0ZmJlMmUzZDQiLCJ1c2VySWQiOiI0NDg5ODIwNTMifQ==</vt:lpwstr>
  </property>
</Properties>
</file>